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7888" w:rsidRDefault="00A67888" w:rsidP="00A67888">
      <w:pPr>
        <w:spacing w:after="240" w:line="300" w:lineRule="atLeast"/>
        <w:jc w:val="center"/>
        <w:rPr>
          <w:rFonts w:ascii="Times New Roman" w:eastAsia="Times New Roman" w:hAnsi="Times New Roman" w:cs="Times New Roman"/>
          <w:color w:val="9E131D"/>
          <w:kern w:val="36"/>
          <w:sz w:val="42"/>
          <w:szCs w:val="42"/>
        </w:rPr>
      </w:pPr>
      <w:r>
        <w:rPr>
          <w:rFonts w:ascii="Times New Roman" w:eastAsia="Times New Roman" w:hAnsi="Times New Roman" w:cs="Times New Roman"/>
          <w:color w:val="9E131D"/>
          <w:kern w:val="36"/>
          <w:sz w:val="42"/>
          <w:szCs w:val="42"/>
        </w:rPr>
        <w:t>The Award</w:t>
      </w:r>
    </w:p>
    <w:p w:rsidR="00A67888" w:rsidRPr="00A67888" w:rsidRDefault="00A67888" w:rsidP="00A67888">
      <w:pPr>
        <w:spacing w:after="240" w:line="300" w:lineRule="atLeast"/>
        <w:rPr>
          <w:rFonts w:ascii="Arial" w:eastAsia="Times New Roman" w:hAnsi="Arial" w:cs="Arial"/>
          <w:color w:val="595959"/>
          <w:szCs w:val="24"/>
        </w:rPr>
      </w:pPr>
      <w:r w:rsidRPr="00A67888">
        <w:rPr>
          <w:rFonts w:ascii="Arial" w:eastAsia="Times New Roman" w:hAnsi="Arial" w:cs="Arial"/>
          <w:color w:val="595959"/>
          <w:szCs w:val="24"/>
        </w:rPr>
        <w:t>Presidential recognition sets you apart from your peers. It is a tremendous honor. Even though you may not seek recognition, your example can deliver a powerful message that encourages others to take action.</w:t>
      </w:r>
    </w:p>
    <w:p w:rsidR="00A67888" w:rsidRPr="00A67888" w:rsidRDefault="00A67888" w:rsidP="00A67888">
      <w:pPr>
        <w:spacing w:after="240" w:line="300" w:lineRule="atLeast"/>
        <w:rPr>
          <w:rFonts w:ascii="Arial" w:eastAsia="Times New Roman" w:hAnsi="Arial" w:cs="Arial"/>
          <w:color w:val="595959"/>
          <w:szCs w:val="24"/>
        </w:rPr>
      </w:pPr>
      <w:r w:rsidRPr="00A67888">
        <w:rPr>
          <w:rFonts w:ascii="Arial" w:eastAsia="Times New Roman" w:hAnsi="Arial" w:cs="Arial"/>
          <w:color w:val="595959"/>
          <w:szCs w:val="24"/>
        </w:rPr>
        <w:t>The President’s Volunteer Service Award recognizes United States citizens and lawfully admitted, permanent residents of the United States who have achieved the required number of hours of service over a 12-month time period or cumulative hours over the course of a lifetime.</w:t>
      </w:r>
    </w:p>
    <w:p w:rsidR="00A67888" w:rsidRPr="005075FB" w:rsidRDefault="00A67888" w:rsidP="00A67888">
      <w:pPr>
        <w:spacing w:after="240" w:line="300" w:lineRule="atLeast"/>
        <w:rPr>
          <w:rFonts w:ascii="Times New Roman" w:eastAsia="Times New Roman" w:hAnsi="Times New Roman" w:cs="Times New Roman"/>
          <w:b/>
          <w:color w:val="C00000"/>
          <w:sz w:val="28"/>
          <w:szCs w:val="28"/>
        </w:rPr>
      </w:pPr>
      <w:r w:rsidRPr="005075FB">
        <w:rPr>
          <w:rFonts w:ascii="Times New Roman" w:eastAsia="Times New Roman" w:hAnsi="Times New Roman" w:cs="Times New Roman"/>
          <w:b/>
          <w:color w:val="C00000"/>
          <w:sz w:val="28"/>
          <w:szCs w:val="28"/>
        </w:rPr>
        <w:t>Criteria</w:t>
      </w:r>
    </w:p>
    <w:p w:rsidR="00A67888" w:rsidRPr="00A67888" w:rsidRDefault="00A67888" w:rsidP="00A67888">
      <w:pPr>
        <w:spacing w:after="240" w:line="300" w:lineRule="atLeast"/>
        <w:rPr>
          <w:rFonts w:ascii="Arial" w:eastAsia="Times New Roman" w:hAnsi="Arial" w:cs="Arial"/>
          <w:color w:val="595959"/>
          <w:szCs w:val="24"/>
        </w:rPr>
      </w:pPr>
      <w:r w:rsidRPr="00A67888">
        <w:rPr>
          <w:rFonts w:ascii="Arial" w:eastAsia="Times New Roman" w:hAnsi="Arial" w:cs="Arial"/>
          <w:color w:val="595959"/>
          <w:szCs w:val="24"/>
        </w:rPr>
        <w:t>Individuals, families and groups that meet the criteria are eligible for the PVSA.</w:t>
      </w:r>
    </w:p>
    <w:p w:rsidR="00A67888" w:rsidRPr="00A67888" w:rsidRDefault="00A67888" w:rsidP="00A67888">
      <w:pPr>
        <w:numPr>
          <w:ilvl w:val="0"/>
          <w:numId w:val="1"/>
        </w:numPr>
        <w:spacing w:before="96" w:after="96" w:line="300" w:lineRule="atLeast"/>
        <w:ind w:left="0"/>
        <w:rPr>
          <w:rFonts w:ascii="Arial" w:eastAsia="Times New Roman" w:hAnsi="Arial" w:cs="Arial"/>
          <w:color w:val="595959"/>
          <w:szCs w:val="24"/>
        </w:rPr>
      </w:pPr>
      <w:r w:rsidRPr="00A67888">
        <w:rPr>
          <w:rFonts w:ascii="Arial" w:eastAsia="Times New Roman" w:hAnsi="Arial" w:cs="Arial"/>
          <w:color w:val="595959"/>
          <w:szCs w:val="24"/>
        </w:rPr>
        <w:t>Recipient(s) must be a United States citizen or a lawfully admitted permanent resident of the United States.</w:t>
      </w:r>
    </w:p>
    <w:p w:rsidR="00A67888" w:rsidRPr="00A67888" w:rsidRDefault="00A67888" w:rsidP="00A67888">
      <w:pPr>
        <w:numPr>
          <w:ilvl w:val="0"/>
          <w:numId w:val="1"/>
        </w:numPr>
        <w:spacing w:before="96" w:after="96" w:line="300" w:lineRule="atLeast"/>
        <w:ind w:left="0"/>
        <w:rPr>
          <w:rFonts w:ascii="Arial" w:eastAsia="Times New Roman" w:hAnsi="Arial" w:cs="Arial"/>
          <w:color w:val="595959"/>
          <w:szCs w:val="24"/>
        </w:rPr>
      </w:pPr>
      <w:r w:rsidRPr="00A67888">
        <w:rPr>
          <w:rFonts w:ascii="Arial" w:eastAsia="Times New Roman" w:hAnsi="Arial" w:cs="Arial"/>
          <w:color w:val="595959"/>
          <w:szCs w:val="24"/>
        </w:rPr>
        <w:t>Awards are issued for service hours served within a 12-month time period or over the course of a lifetime.</w:t>
      </w:r>
    </w:p>
    <w:p w:rsidR="00A67888" w:rsidRPr="00A67888" w:rsidRDefault="00A67888" w:rsidP="00A67888">
      <w:pPr>
        <w:numPr>
          <w:ilvl w:val="0"/>
          <w:numId w:val="1"/>
        </w:numPr>
        <w:spacing w:before="96" w:after="96" w:line="300" w:lineRule="atLeast"/>
        <w:ind w:left="0"/>
        <w:rPr>
          <w:rFonts w:ascii="Arial" w:eastAsia="Times New Roman" w:hAnsi="Arial" w:cs="Arial"/>
          <w:color w:val="595959"/>
          <w:szCs w:val="24"/>
        </w:rPr>
      </w:pPr>
      <w:r w:rsidRPr="00A67888">
        <w:rPr>
          <w:rFonts w:ascii="Arial" w:eastAsia="Times New Roman" w:hAnsi="Arial" w:cs="Arial"/>
          <w:color w:val="595959"/>
          <w:szCs w:val="24"/>
        </w:rPr>
        <w:t>Awards are issued for volunteer service only; additional levels of participation with the organization (i.e., charitable support) are not a factor considered for the award.</w:t>
      </w:r>
    </w:p>
    <w:p w:rsidR="00A67888" w:rsidRPr="00A67888" w:rsidRDefault="00A67888" w:rsidP="00A67888">
      <w:pPr>
        <w:numPr>
          <w:ilvl w:val="0"/>
          <w:numId w:val="1"/>
        </w:numPr>
        <w:spacing w:before="96" w:after="96" w:line="300" w:lineRule="atLeast"/>
        <w:ind w:left="0"/>
        <w:rPr>
          <w:rFonts w:ascii="Arial" w:eastAsia="Times New Roman" w:hAnsi="Arial" w:cs="Arial"/>
          <w:color w:val="595959"/>
          <w:szCs w:val="24"/>
        </w:rPr>
      </w:pPr>
      <w:r w:rsidRPr="00A67888">
        <w:rPr>
          <w:rFonts w:ascii="Arial" w:eastAsia="Times New Roman" w:hAnsi="Arial" w:cs="Arial"/>
          <w:color w:val="595959"/>
          <w:szCs w:val="24"/>
        </w:rPr>
        <w:t>Court-ordered community service does not qualify for the award.</w:t>
      </w:r>
    </w:p>
    <w:p w:rsidR="00A67888" w:rsidRPr="00A67888" w:rsidRDefault="00A67888" w:rsidP="00A67888">
      <w:pPr>
        <w:numPr>
          <w:ilvl w:val="0"/>
          <w:numId w:val="1"/>
        </w:numPr>
        <w:spacing w:before="96" w:after="96" w:line="300" w:lineRule="atLeast"/>
        <w:ind w:left="0"/>
        <w:rPr>
          <w:rFonts w:ascii="Arial" w:eastAsia="Times New Roman" w:hAnsi="Arial" w:cs="Arial"/>
          <w:color w:val="595959"/>
          <w:szCs w:val="24"/>
        </w:rPr>
      </w:pPr>
      <w:r w:rsidRPr="00A67888">
        <w:rPr>
          <w:rFonts w:ascii="Arial" w:eastAsia="Times New Roman" w:hAnsi="Arial" w:cs="Arial"/>
          <w:color w:val="595959"/>
          <w:szCs w:val="24"/>
        </w:rPr>
        <w:t>Awards are issued by approved Certifying Organizations.</w:t>
      </w:r>
    </w:p>
    <w:p w:rsidR="00A67888" w:rsidRPr="00A67888" w:rsidRDefault="00A67888" w:rsidP="00A67888">
      <w:pPr>
        <w:numPr>
          <w:ilvl w:val="0"/>
          <w:numId w:val="1"/>
        </w:numPr>
        <w:spacing w:before="96" w:after="96" w:line="300" w:lineRule="atLeast"/>
        <w:ind w:left="0"/>
        <w:rPr>
          <w:rFonts w:ascii="Arial" w:eastAsia="Times New Roman" w:hAnsi="Arial" w:cs="Arial"/>
          <w:color w:val="595959"/>
          <w:szCs w:val="24"/>
        </w:rPr>
      </w:pPr>
      <w:r w:rsidRPr="00A67888">
        <w:rPr>
          <w:rFonts w:ascii="Arial" w:eastAsia="Times New Roman" w:hAnsi="Arial" w:cs="Arial"/>
          <w:color w:val="595959"/>
          <w:szCs w:val="24"/>
        </w:rPr>
        <w:t>Service must be with an approved Certifying Organization that is legally established in the United States, the Commonwealth of Puerto Rico or one of the U.S. territories.</w:t>
      </w:r>
    </w:p>
    <w:p w:rsidR="00A67888" w:rsidRPr="005075FB" w:rsidRDefault="00A67888" w:rsidP="00A67888">
      <w:pPr>
        <w:spacing w:after="240" w:line="300" w:lineRule="atLeast"/>
        <w:rPr>
          <w:rFonts w:ascii="Times New Roman" w:eastAsia="Times New Roman" w:hAnsi="Times New Roman" w:cs="Times New Roman"/>
          <w:b/>
          <w:color w:val="9E131D"/>
          <w:sz w:val="28"/>
          <w:szCs w:val="28"/>
        </w:rPr>
      </w:pPr>
      <w:r w:rsidRPr="005075FB">
        <w:rPr>
          <w:rFonts w:ascii="Times New Roman" w:eastAsia="Times New Roman" w:hAnsi="Times New Roman" w:cs="Times New Roman"/>
          <w:b/>
          <w:color w:val="9E131D"/>
          <w:sz w:val="28"/>
          <w:szCs w:val="28"/>
        </w:rPr>
        <w:t>Eligibility</w:t>
      </w:r>
    </w:p>
    <w:p w:rsidR="00A67888" w:rsidRPr="00A67888" w:rsidRDefault="00A67888" w:rsidP="00A67888">
      <w:pPr>
        <w:spacing w:after="240" w:line="300" w:lineRule="atLeast"/>
        <w:rPr>
          <w:rFonts w:ascii="Arial" w:eastAsia="Times New Roman" w:hAnsi="Arial" w:cs="Arial"/>
          <w:color w:val="595959"/>
          <w:szCs w:val="24"/>
        </w:rPr>
      </w:pPr>
      <w:r w:rsidRPr="00A67888">
        <w:rPr>
          <w:rFonts w:ascii="Arial" w:eastAsia="Times New Roman" w:hAnsi="Arial" w:cs="Arial"/>
          <w:color w:val="595959"/>
          <w:szCs w:val="24"/>
        </w:rPr>
        <w:t>Hours are measured over a 12-month period and awards are designated based on cumulative hours. The awards are offered in multiple levels and are designed to recognize each milestone of your service achievement. Levels include bronze, silver, gold and the highest honor, the President’s Lifetime Achievement Award for those who contribute more than 4,000 hours of service in their lifetime.</w:t>
      </w: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90"/>
        <w:gridCol w:w="1260"/>
        <w:gridCol w:w="1155"/>
        <w:gridCol w:w="1290"/>
      </w:tblGrid>
      <w:tr w:rsidR="00A67888" w:rsidRPr="00A67888" w:rsidTr="005075FB">
        <w:trPr>
          <w:jc w:val="center"/>
        </w:trPr>
        <w:tc>
          <w:tcPr>
            <w:tcW w:w="2790" w:type="dxa"/>
            <w:tcBorders>
              <w:top w:val="single" w:sz="6" w:space="0" w:color="555555"/>
              <w:left w:val="single" w:sz="6" w:space="0" w:color="555555"/>
              <w:bottom w:val="single" w:sz="6" w:space="0" w:color="555555"/>
              <w:right w:val="single" w:sz="6" w:space="0" w:color="555555"/>
            </w:tcBorders>
            <w:shd w:val="clear" w:color="auto" w:fill="0C376A"/>
            <w:tcMar>
              <w:top w:w="60" w:type="dxa"/>
              <w:left w:w="90" w:type="dxa"/>
              <w:bottom w:w="60" w:type="dxa"/>
              <w:right w:w="90" w:type="dxa"/>
            </w:tcMar>
            <w:vAlign w:val="center"/>
            <w:hideMark/>
          </w:tcPr>
          <w:p w:rsidR="00A67888" w:rsidRPr="00A67888" w:rsidRDefault="00A67888" w:rsidP="00A67888">
            <w:pPr>
              <w:spacing w:after="0" w:line="240" w:lineRule="auto"/>
              <w:jc w:val="center"/>
              <w:rPr>
                <w:rFonts w:ascii="Times New Roman" w:eastAsia="Times New Roman" w:hAnsi="Times New Roman" w:cs="Times New Roman"/>
                <w:b/>
                <w:bCs/>
                <w:color w:val="FFFFFF"/>
                <w:sz w:val="23"/>
                <w:szCs w:val="23"/>
              </w:rPr>
            </w:pPr>
            <w:r w:rsidRPr="00A67888">
              <w:rPr>
                <w:rFonts w:ascii="Times New Roman" w:eastAsia="Times New Roman" w:hAnsi="Times New Roman" w:cs="Times New Roman"/>
                <w:b/>
                <w:bCs/>
                <w:color w:val="FFFFFF"/>
                <w:sz w:val="23"/>
                <w:szCs w:val="23"/>
              </w:rPr>
              <w:t>Hours by Award</w:t>
            </w:r>
          </w:p>
        </w:tc>
        <w:tc>
          <w:tcPr>
            <w:tcW w:w="1260" w:type="dxa"/>
            <w:tcBorders>
              <w:top w:val="single" w:sz="6" w:space="0" w:color="555555"/>
              <w:left w:val="single" w:sz="6" w:space="0" w:color="555555"/>
              <w:bottom w:val="single" w:sz="6" w:space="0" w:color="555555"/>
              <w:right w:val="single" w:sz="6" w:space="0" w:color="555555"/>
            </w:tcBorders>
            <w:shd w:val="clear" w:color="auto" w:fill="0C376A"/>
            <w:tcMar>
              <w:top w:w="60" w:type="dxa"/>
              <w:left w:w="90" w:type="dxa"/>
              <w:bottom w:w="60" w:type="dxa"/>
              <w:right w:w="90" w:type="dxa"/>
            </w:tcMar>
            <w:vAlign w:val="center"/>
            <w:hideMark/>
          </w:tcPr>
          <w:p w:rsidR="00A67888" w:rsidRPr="00A67888" w:rsidRDefault="00A67888" w:rsidP="00A67888">
            <w:pPr>
              <w:spacing w:after="0" w:line="240" w:lineRule="auto"/>
              <w:jc w:val="center"/>
              <w:rPr>
                <w:rFonts w:ascii="Times New Roman" w:eastAsia="Times New Roman" w:hAnsi="Times New Roman" w:cs="Times New Roman"/>
                <w:b/>
                <w:bCs/>
                <w:color w:val="FFFFFF"/>
                <w:sz w:val="23"/>
                <w:szCs w:val="23"/>
              </w:rPr>
            </w:pPr>
            <w:r w:rsidRPr="00A67888">
              <w:rPr>
                <w:rFonts w:ascii="Times New Roman" w:eastAsia="Times New Roman" w:hAnsi="Times New Roman" w:cs="Times New Roman"/>
                <w:b/>
                <w:bCs/>
                <w:color w:val="FFFFFF"/>
                <w:sz w:val="23"/>
                <w:szCs w:val="23"/>
              </w:rPr>
              <w:t>Bronze</w:t>
            </w:r>
          </w:p>
        </w:tc>
        <w:tc>
          <w:tcPr>
            <w:tcW w:w="1155" w:type="dxa"/>
            <w:tcBorders>
              <w:top w:val="single" w:sz="6" w:space="0" w:color="555555"/>
              <w:left w:val="single" w:sz="6" w:space="0" w:color="555555"/>
              <w:bottom w:val="single" w:sz="6" w:space="0" w:color="555555"/>
              <w:right w:val="single" w:sz="6" w:space="0" w:color="555555"/>
            </w:tcBorders>
            <w:shd w:val="clear" w:color="auto" w:fill="0C376A"/>
            <w:tcMar>
              <w:top w:w="60" w:type="dxa"/>
              <w:left w:w="90" w:type="dxa"/>
              <w:bottom w:w="60" w:type="dxa"/>
              <w:right w:w="90" w:type="dxa"/>
            </w:tcMar>
            <w:vAlign w:val="center"/>
            <w:hideMark/>
          </w:tcPr>
          <w:p w:rsidR="00A67888" w:rsidRPr="00A67888" w:rsidRDefault="00A67888" w:rsidP="00A67888">
            <w:pPr>
              <w:spacing w:after="0" w:line="240" w:lineRule="auto"/>
              <w:jc w:val="center"/>
              <w:rPr>
                <w:rFonts w:ascii="Times New Roman" w:eastAsia="Times New Roman" w:hAnsi="Times New Roman" w:cs="Times New Roman"/>
                <w:b/>
                <w:bCs/>
                <w:color w:val="FFFFFF"/>
                <w:sz w:val="23"/>
                <w:szCs w:val="23"/>
              </w:rPr>
            </w:pPr>
            <w:r w:rsidRPr="00A67888">
              <w:rPr>
                <w:rFonts w:ascii="Times New Roman" w:eastAsia="Times New Roman" w:hAnsi="Times New Roman" w:cs="Times New Roman"/>
                <w:b/>
                <w:bCs/>
                <w:color w:val="FFFFFF"/>
                <w:sz w:val="23"/>
                <w:szCs w:val="23"/>
              </w:rPr>
              <w:t>Silver</w:t>
            </w:r>
          </w:p>
        </w:tc>
        <w:tc>
          <w:tcPr>
            <w:tcW w:w="1290" w:type="dxa"/>
            <w:tcBorders>
              <w:top w:val="single" w:sz="6" w:space="0" w:color="555555"/>
              <w:left w:val="single" w:sz="6" w:space="0" w:color="555555"/>
              <w:bottom w:val="single" w:sz="6" w:space="0" w:color="555555"/>
              <w:right w:val="single" w:sz="6" w:space="0" w:color="555555"/>
            </w:tcBorders>
            <w:shd w:val="clear" w:color="auto" w:fill="0C376A"/>
            <w:tcMar>
              <w:top w:w="60" w:type="dxa"/>
              <w:left w:w="90" w:type="dxa"/>
              <w:bottom w:w="60" w:type="dxa"/>
              <w:right w:w="90" w:type="dxa"/>
            </w:tcMar>
            <w:vAlign w:val="center"/>
            <w:hideMark/>
          </w:tcPr>
          <w:p w:rsidR="00A67888" w:rsidRPr="00A67888" w:rsidRDefault="00A67888" w:rsidP="00A67888">
            <w:pPr>
              <w:spacing w:after="0" w:line="240" w:lineRule="auto"/>
              <w:jc w:val="center"/>
              <w:rPr>
                <w:rFonts w:ascii="Times New Roman" w:eastAsia="Times New Roman" w:hAnsi="Times New Roman" w:cs="Times New Roman"/>
                <w:b/>
                <w:bCs/>
                <w:color w:val="FFFFFF"/>
                <w:sz w:val="23"/>
                <w:szCs w:val="23"/>
              </w:rPr>
            </w:pPr>
            <w:r w:rsidRPr="00A67888">
              <w:rPr>
                <w:rFonts w:ascii="Times New Roman" w:eastAsia="Times New Roman" w:hAnsi="Times New Roman" w:cs="Times New Roman"/>
                <w:b/>
                <w:bCs/>
                <w:color w:val="FFFFFF"/>
                <w:sz w:val="23"/>
                <w:szCs w:val="23"/>
              </w:rPr>
              <w:t>Gold</w:t>
            </w:r>
          </w:p>
        </w:tc>
      </w:tr>
      <w:tr w:rsidR="00A67888" w:rsidRPr="00A67888" w:rsidTr="005075FB">
        <w:trPr>
          <w:jc w:val="center"/>
        </w:trPr>
        <w:tc>
          <w:tcPr>
            <w:tcW w:w="2790" w:type="dxa"/>
            <w:tcBorders>
              <w:top w:val="single" w:sz="6" w:space="0" w:color="555555"/>
              <w:left w:val="single" w:sz="6" w:space="0" w:color="555555"/>
              <w:bottom w:val="single" w:sz="6" w:space="0" w:color="555555"/>
              <w:right w:val="single" w:sz="6" w:space="0" w:color="555555"/>
            </w:tcBorders>
            <w:shd w:val="clear" w:color="auto" w:fill="FFFFFF"/>
            <w:tcMar>
              <w:top w:w="60" w:type="dxa"/>
              <w:left w:w="60" w:type="dxa"/>
              <w:bottom w:w="60" w:type="dxa"/>
              <w:right w:w="60" w:type="dxa"/>
            </w:tcMar>
            <w:vAlign w:val="center"/>
            <w:hideMark/>
          </w:tcPr>
          <w:p w:rsidR="00A67888" w:rsidRPr="00A67888" w:rsidRDefault="00A67888" w:rsidP="00A67888">
            <w:pPr>
              <w:spacing w:after="240" w:line="240" w:lineRule="auto"/>
              <w:rPr>
                <w:rFonts w:ascii="Times New Roman" w:eastAsia="Times New Roman" w:hAnsi="Times New Roman" w:cs="Times New Roman"/>
                <w:sz w:val="24"/>
                <w:szCs w:val="24"/>
              </w:rPr>
            </w:pPr>
            <w:r w:rsidRPr="00A67888">
              <w:rPr>
                <w:rFonts w:ascii="Times New Roman" w:eastAsia="Times New Roman" w:hAnsi="Times New Roman" w:cs="Times New Roman"/>
                <w:b/>
                <w:bCs/>
                <w:sz w:val="24"/>
                <w:szCs w:val="24"/>
              </w:rPr>
              <w:t>Kids (5-10)</w:t>
            </w:r>
          </w:p>
        </w:tc>
        <w:tc>
          <w:tcPr>
            <w:tcW w:w="1260" w:type="dxa"/>
            <w:tcBorders>
              <w:top w:val="single" w:sz="6" w:space="0" w:color="555555"/>
              <w:left w:val="single" w:sz="6" w:space="0" w:color="555555"/>
              <w:bottom w:val="single" w:sz="6" w:space="0" w:color="555555"/>
              <w:right w:val="single" w:sz="6" w:space="0" w:color="555555"/>
            </w:tcBorders>
            <w:shd w:val="clear" w:color="auto" w:fill="FFFFFF"/>
            <w:tcMar>
              <w:top w:w="60" w:type="dxa"/>
              <w:left w:w="60" w:type="dxa"/>
              <w:bottom w:w="60" w:type="dxa"/>
              <w:right w:w="60" w:type="dxa"/>
            </w:tcMar>
            <w:vAlign w:val="center"/>
            <w:hideMark/>
          </w:tcPr>
          <w:p w:rsidR="00A67888" w:rsidRPr="00A67888" w:rsidRDefault="00A67888" w:rsidP="00A67888">
            <w:pPr>
              <w:spacing w:after="240" w:line="240" w:lineRule="auto"/>
              <w:rPr>
                <w:rFonts w:ascii="Times New Roman" w:eastAsia="Times New Roman" w:hAnsi="Times New Roman" w:cs="Times New Roman"/>
                <w:sz w:val="24"/>
                <w:szCs w:val="24"/>
              </w:rPr>
            </w:pPr>
            <w:r w:rsidRPr="00A67888">
              <w:rPr>
                <w:rFonts w:ascii="Times New Roman" w:eastAsia="Times New Roman" w:hAnsi="Times New Roman" w:cs="Times New Roman"/>
                <w:sz w:val="24"/>
                <w:szCs w:val="24"/>
              </w:rPr>
              <w:t>26 – 49</w:t>
            </w:r>
          </w:p>
        </w:tc>
        <w:tc>
          <w:tcPr>
            <w:tcW w:w="1155" w:type="dxa"/>
            <w:tcBorders>
              <w:top w:val="single" w:sz="6" w:space="0" w:color="555555"/>
              <w:left w:val="single" w:sz="6" w:space="0" w:color="555555"/>
              <w:bottom w:val="single" w:sz="6" w:space="0" w:color="555555"/>
              <w:right w:val="single" w:sz="6" w:space="0" w:color="555555"/>
            </w:tcBorders>
            <w:shd w:val="clear" w:color="auto" w:fill="FFFFFF"/>
            <w:tcMar>
              <w:top w:w="60" w:type="dxa"/>
              <w:left w:w="60" w:type="dxa"/>
              <w:bottom w:w="60" w:type="dxa"/>
              <w:right w:w="60" w:type="dxa"/>
            </w:tcMar>
            <w:vAlign w:val="center"/>
            <w:hideMark/>
          </w:tcPr>
          <w:p w:rsidR="00A67888" w:rsidRPr="00A67888" w:rsidRDefault="00A67888" w:rsidP="00A67888">
            <w:pPr>
              <w:spacing w:after="240" w:line="240" w:lineRule="auto"/>
              <w:rPr>
                <w:rFonts w:ascii="Times New Roman" w:eastAsia="Times New Roman" w:hAnsi="Times New Roman" w:cs="Times New Roman"/>
                <w:sz w:val="24"/>
                <w:szCs w:val="24"/>
              </w:rPr>
            </w:pPr>
            <w:r w:rsidRPr="00A67888">
              <w:rPr>
                <w:rFonts w:ascii="Times New Roman" w:eastAsia="Times New Roman" w:hAnsi="Times New Roman" w:cs="Times New Roman"/>
                <w:sz w:val="24"/>
                <w:szCs w:val="24"/>
              </w:rPr>
              <w:t>50 – 74</w:t>
            </w:r>
          </w:p>
        </w:tc>
        <w:tc>
          <w:tcPr>
            <w:tcW w:w="1290" w:type="dxa"/>
            <w:tcBorders>
              <w:top w:val="single" w:sz="6" w:space="0" w:color="555555"/>
              <w:left w:val="single" w:sz="6" w:space="0" w:color="555555"/>
              <w:bottom w:val="single" w:sz="6" w:space="0" w:color="555555"/>
              <w:right w:val="single" w:sz="6" w:space="0" w:color="555555"/>
            </w:tcBorders>
            <w:shd w:val="clear" w:color="auto" w:fill="FFFFFF"/>
            <w:tcMar>
              <w:top w:w="60" w:type="dxa"/>
              <w:left w:w="60" w:type="dxa"/>
              <w:bottom w:w="60" w:type="dxa"/>
              <w:right w:w="60" w:type="dxa"/>
            </w:tcMar>
            <w:vAlign w:val="center"/>
            <w:hideMark/>
          </w:tcPr>
          <w:p w:rsidR="00A67888" w:rsidRPr="00A67888" w:rsidRDefault="00A67888" w:rsidP="00A67888">
            <w:pPr>
              <w:spacing w:after="240" w:line="240" w:lineRule="auto"/>
              <w:rPr>
                <w:rFonts w:ascii="Times New Roman" w:eastAsia="Times New Roman" w:hAnsi="Times New Roman" w:cs="Times New Roman"/>
                <w:sz w:val="24"/>
                <w:szCs w:val="24"/>
              </w:rPr>
            </w:pPr>
            <w:r w:rsidRPr="00A67888">
              <w:rPr>
                <w:rFonts w:ascii="Times New Roman" w:eastAsia="Times New Roman" w:hAnsi="Times New Roman" w:cs="Times New Roman"/>
                <w:sz w:val="24"/>
                <w:szCs w:val="24"/>
              </w:rPr>
              <w:t>75 +</w:t>
            </w:r>
          </w:p>
        </w:tc>
      </w:tr>
      <w:tr w:rsidR="00A67888" w:rsidRPr="00A67888" w:rsidTr="005075FB">
        <w:trPr>
          <w:jc w:val="center"/>
        </w:trPr>
        <w:tc>
          <w:tcPr>
            <w:tcW w:w="2790" w:type="dxa"/>
            <w:tcBorders>
              <w:top w:val="single" w:sz="6" w:space="0" w:color="555555"/>
              <w:left w:val="single" w:sz="6" w:space="0" w:color="555555"/>
              <w:bottom w:val="single" w:sz="6" w:space="0" w:color="555555"/>
              <w:right w:val="single" w:sz="6" w:space="0" w:color="555555"/>
            </w:tcBorders>
            <w:shd w:val="clear" w:color="auto" w:fill="FFFFFF"/>
            <w:tcMar>
              <w:top w:w="60" w:type="dxa"/>
              <w:left w:w="60" w:type="dxa"/>
              <w:bottom w:w="60" w:type="dxa"/>
              <w:right w:w="60" w:type="dxa"/>
            </w:tcMar>
            <w:vAlign w:val="center"/>
            <w:hideMark/>
          </w:tcPr>
          <w:p w:rsidR="00A67888" w:rsidRPr="00A67888" w:rsidRDefault="00A67888" w:rsidP="00A67888">
            <w:pPr>
              <w:spacing w:after="240" w:line="240" w:lineRule="auto"/>
              <w:rPr>
                <w:rFonts w:ascii="Times New Roman" w:eastAsia="Times New Roman" w:hAnsi="Times New Roman" w:cs="Times New Roman"/>
                <w:sz w:val="24"/>
                <w:szCs w:val="24"/>
              </w:rPr>
            </w:pPr>
            <w:r w:rsidRPr="00A67888">
              <w:rPr>
                <w:rFonts w:ascii="Times New Roman" w:eastAsia="Times New Roman" w:hAnsi="Times New Roman" w:cs="Times New Roman"/>
                <w:b/>
                <w:bCs/>
                <w:sz w:val="24"/>
                <w:szCs w:val="24"/>
              </w:rPr>
              <w:t>Teens (11–15)</w:t>
            </w:r>
          </w:p>
        </w:tc>
        <w:tc>
          <w:tcPr>
            <w:tcW w:w="1260" w:type="dxa"/>
            <w:tcBorders>
              <w:top w:val="single" w:sz="6" w:space="0" w:color="555555"/>
              <w:left w:val="single" w:sz="6" w:space="0" w:color="555555"/>
              <w:bottom w:val="single" w:sz="6" w:space="0" w:color="555555"/>
              <w:right w:val="single" w:sz="6" w:space="0" w:color="555555"/>
            </w:tcBorders>
            <w:shd w:val="clear" w:color="auto" w:fill="FFFFFF"/>
            <w:tcMar>
              <w:top w:w="60" w:type="dxa"/>
              <w:left w:w="60" w:type="dxa"/>
              <w:bottom w:w="60" w:type="dxa"/>
              <w:right w:w="60" w:type="dxa"/>
            </w:tcMar>
            <w:vAlign w:val="center"/>
            <w:hideMark/>
          </w:tcPr>
          <w:p w:rsidR="00A67888" w:rsidRPr="00A67888" w:rsidRDefault="00A67888" w:rsidP="00A67888">
            <w:pPr>
              <w:spacing w:after="240" w:line="240" w:lineRule="auto"/>
              <w:rPr>
                <w:rFonts w:ascii="Times New Roman" w:eastAsia="Times New Roman" w:hAnsi="Times New Roman" w:cs="Times New Roman"/>
                <w:sz w:val="24"/>
                <w:szCs w:val="24"/>
              </w:rPr>
            </w:pPr>
            <w:r w:rsidRPr="00A67888">
              <w:rPr>
                <w:rFonts w:ascii="Times New Roman" w:eastAsia="Times New Roman" w:hAnsi="Times New Roman" w:cs="Times New Roman"/>
                <w:sz w:val="24"/>
                <w:szCs w:val="24"/>
              </w:rPr>
              <w:t>50 – 74</w:t>
            </w:r>
          </w:p>
        </w:tc>
        <w:tc>
          <w:tcPr>
            <w:tcW w:w="1155" w:type="dxa"/>
            <w:tcBorders>
              <w:top w:val="single" w:sz="6" w:space="0" w:color="555555"/>
              <w:left w:val="single" w:sz="6" w:space="0" w:color="555555"/>
              <w:bottom w:val="single" w:sz="6" w:space="0" w:color="555555"/>
              <w:right w:val="single" w:sz="6" w:space="0" w:color="555555"/>
            </w:tcBorders>
            <w:shd w:val="clear" w:color="auto" w:fill="FFFFFF"/>
            <w:tcMar>
              <w:top w:w="60" w:type="dxa"/>
              <w:left w:w="60" w:type="dxa"/>
              <w:bottom w:w="60" w:type="dxa"/>
              <w:right w:w="60" w:type="dxa"/>
            </w:tcMar>
            <w:vAlign w:val="center"/>
            <w:hideMark/>
          </w:tcPr>
          <w:p w:rsidR="00A67888" w:rsidRPr="00A67888" w:rsidRDefault="00A67888" w:rsidP="00A67888">
            <w:pPr>
              <w:spacing w:after="240" w:line="240" w:lineRule="auto"/>
              <w:rPr>
                <w:rFonts w:ascii="Times New Roman" w:eastAsia="Times New Roman" w:hAnsi="Times New Roman" w:cs="Times New Roman"/>
                <w:sz w:val="24"/>
                <w:szCs w:val="24"/>
              </w:rPr>
            </w:pPr>
            <w:r w:rsidRPr="00A67888">
              <w:rPr>
                <w:rFonts w:ascii="Times New Roman" w:eastAsia="Times New Roman" w:hAnsi="Times New Roman" w:cs="Times New Roman"/>
                <w:sz w:val="24"/>
                <w:szCs w:val="24"/>
              </w:rPr>
              <w:t>75 – 99</w:t>
            </w:r>
          </w:p>
        </w:tc>
        <w:tc>
          <w:tcPr>
            <w:tcW w:w="1290" w:type="dxa"/>
            <w:tcBorders>
              <w:top w:val="single" w:sz="6" w:space="0" w:color="555555"/>
              <w:left w:val="single" w:sz="6" w:space="0" w:color="555555"/>
              <w:bottom w:val="single" w:sz="6" w:space="0" w:color="555555"/>
              <w:right w:val="single" w:sz="6" w:space="0" w:color="555555"/>
            </w:tcBorders>
            <w:shd w:val="clear" w:color="auto" w:fill="FFFFFF"/>
            <w:tcMar>
              <w:top w:w="60" w:type="dxa"/>
              <w:left w:w="60" w:type="dxa"/>
              <w:bottom w:w="60" w:type="dxa"/>
              <w:right w:w="60" w:type="dxa"/>
            </w:tcMar>
            <w:vAlign w:val="center"/>
            <w:hideMark/>
          </w:tcPr>
          <w:p w:rsidR="00A67888" w:rsidRPr="00A67888" w:rsidRDefault="00A67888" w:rsidP="00A67888">
            <w:pPr>
              <w:spacing w:after="240" w:line="240" w:lineRule="auto"/>
              <w:rPr>
                <w:rFonts w:ascii="Times New Roman" w:eastAsia="Times New Roman" w:hAnsi="Times New Roman" w:cs="Times New Roman"/>
                <w:sz w:val="24"/>
                <w:szCs w:val="24"/>
              </w:rPr>
            </w:pPr>
            <w:r w:rsidRPr="00A67888">
              <w:rPr>
                <w:rFonts w:ascii="Times New Roman" w:eastAsia="Times New Roman" w:hAnsi="Times New Roman" w:cs="Times New Roman"/>
                <w:sz w:val="24"/>
                <w:szCs w:val="24"/>
              </w:rPr>
              <w:t>100 +</w:t>
            </w:r>
          </w:p>
        </w:tc>
      </w:tr>
      <w:tr w:rsidR="00A67888" w:rsidRPr="00A67888" w:rsidTr="005075FB">
        <w:trPr>
          <w:jc w:val="center"/>
        </w:trPr>
        <w:tc>
          <w:tcPr>
            <w:tcW w:w="2790" w:type="dxa"/>
            <w:tcBorders>
              <w:top w:val="single" w:sz="6" w:space="0" w:color="555555"/>
              <w:left w:val="single" w:sz="6" w:space="0" w:color="555555"/>
              <w:bottom w:val="single" w:sz="6" w:space="0" w:color="555555"/>
              <w:right w:val="single" w:sz="6" w:space="0" w:color="555555"/>
            </w:tcBorders>
            <w:shd w:val="clear" w:color="auto" w:fill="FFFFFF"/>
            <w:tcMar>
              <w:top w:w="60" w:type="dxa"/>
              <w:left w:w="60" w:type="dxa"/>
              <w:bottom w:w="60" w:type="dxa"/>
              <w:right w:w="60" w:type="dxa"/>
            </w:tcMar>
            <w:vAlign w:val="center"/>
            <w:hideMark/>
          </w:tcPr>
          <w:p w:rsidR="00A67888" w:rsidRPr="00A67888" w:rsidRDefault="00A67888" w:rsidP="00A67888">
            <w:pPr>
              <w:spacing w:after="240" w:line="240" w:lineRule="auto"/>
              <w:rPr>
                <w:rFonts w:ascii="Times New Roman" w:eastAsia="Times New Roman" w:hAnsi="Times New Roman" w:cs="Times New Roman"/>
                <w:sz w:val="24"/>
                <w:szCs w:val="24"/>
              </w:rPr>
            </w:pPr>
            <w:r w:rsidRPr="00A67888">
              <w:rPr>
                <w:rFonts w:ascii="Times New Roman" w:eastAsia="Times New Roman" w:hAnsi="Times New Roman" w:cs="Times New Roman"/>
                <w:b/>
                <w:bCs/>
                <w:sz w:val="24"/>
                <w:szCs w:val="24"/>
              </w:rPr>
              <w:t>Young Adults (16-25)</w:t>
            </w:r>
          </w:p>
        </w:tc>
        <w:tc>
          <w:tcPr>
            <w:tcW w:w="1260" w:type="dxa"/>
            <w:tcBorders>
              <w:top w:val="single" w:sz="6" w:space="0" w:color="555555"/>
              <w:left w:val="single" w:sz="6" w:space="0" w:color="555555"/>
              <w:bottom w:val="single" w:sz="6" w:space="0" w:color="555555"/>
              <w:right w:val="single" w:sz="6" w:space="0" w:color="555555"/>
            </w:tcBorders>
            <w:shd w:val="clear" w:color="auto" w:fill="FFFFFF"/>
            <w:tcMar>
              <w:top w:w="60" w:type="dxa"/>
              <w:left w:w="60" w:type="dxa"/>
              <w:bottom w:w="60" w:type="dxa"/>
              <w:right w:w="60" w:type="dxa"/>
            </w:tcMar>
            <w:vAlign w:val="center"/>
            <w:hideMark/>
          </w:tcPr>
          <w:p w:rsidR="00A67888" w:rsidRPr="00A67888" w:rsidRDefault="00A67888" w:rsidP="00A67888">
            <w:pPr>
              <w:spacing w:after="240" w:line="240" w:lineRule="auto"/>
              <w:rPr>
                <w:rFonts w:ascii="Times New Roman" w:eastAsia="Times New Roman" w:hAnsi="Times New Roman" w:cs="Times New Roman"/>
                <w:sz w:val="24"/>
                <w:szCs w:val="24"/>
              </w:rPr>
            </w:pPr>
            <w:r w:rsidRPr="00A67888">
              <w:rPr>
                <w:rFonts w:ascii="Times New Roman" w:eastAsia="Times New Roman" w:hAnsi="Times New Roman" w:cs="Times New Roman"/>
                <w:sz w:val="24"/>
                <w:szCs w:val="24"/>
              </w:rPr>
              <w:t>100 – 174</w:t>
            </w:r>
          </w:p>
        </w:tc>
        <w:tc>
          <w:tcPr>
            <w:tcW w:w="1155" w:type="dxa"/>
            <w:tcBorders>
              <w:top w:val="single" w:sz="6" w:space="0" w:color="555555"/>
              <w:left w:val="single" w:sz="6" w:space="0" w:color="555555"/>
              <w:bottom w:val="single" w:sz="6" w:space="0" w:color="555555"/>
              <w:right w:val="single" w:sz="6" w:space="0" w:color="555555"/>
            </w:tcBorders>
            <w:shd w:val="clear" w:color="auto" w:fill="FFFFFF"/>
            <w:tcMar>
              <w:top w:w="60" w:type="dxa"/>
              <w:left w:w="60" w:type="dxa"/>
              <w:bottom w:w="60" w:type="dxa"/>
              <w:right w:w="60" w:type="dxa"/>
            </w:tcMar>
            <w:vAlign w:val="center"/>
            <w:hideMark/>
          </w:tcPr>
          <w:p w:rsidR="00A67888" w:rsidRPr="00A67888" w:rsidRDefault="00A67888" w:rsidP="00A67888">
            <w:pPr>
              <w:spacing w:after="240" w:line="240" w:lineRule="auto"/>
              <w:rPr>
                <w:rFonts w:ascii="Times New Roman" w:eastAsia="Times New Roman" w:hAnsi="Times New Roman" w:cs="Times New Roman"/>
                <w:sz w:val="24"/>
                <w:szCs w:val="24"/>
              </w:rPr>
            </w:pPr>
            <w:r w:rsidRPr="00A67888">
              <w:rPr>
                <w:rFonts w:ascii="Times New Roman" w:eastAsia="Times New Roman" w:hAnsi="Times New Roman" w:cs="Times New Roman"/>
                <w:sz w:val="24"/>
                <w:szCs w:val="24"/>
              </w:rPr>
              <w:t>175 – 249</w:t>
            </w:r>
          </w:p>
        </w:tc>
        <w:tc>
          <w:tcPr>
            <w:tcW w:w="1290" w:type="dxa"/>
            <w:tcBorders>
              <w:top w:val="single" w:sz="6" w:space="0" w:color="555555"/>
              <w:left w:val="single" w:sz="6" w:space="0" w:color="555555"/>
              <w:bottom w:val="single" w:sz="6" w:space="0" w:color="555555"/>
              <w:right w:val="single" w:sz="6" w:space="0" w:color="555555"/>
            </w:tcBorders>
            <w:shd w:val="clear" w:color="auto" w:fill="FFFFFF"/>
            <w:tcMar>
              <w:top w:w="60" w:type="dxa"/>
              <w:left w:w="60" w:type="dxa"/>
              <w:bottom w:w="60" w:type="dxa"/>
              <w:right w:w="60" w:type="dxa"/>
            </w:tcMar>
            <w:vAlign w:val="center"/>
            <w:hideMark/>
          </w:tcPr>
          <w:p w:rsidR="00A67888" w:rsidRPr="00A67888" w:rsidRDefault="00A67888" w:rsidP="00A67888">
            <w:pPr>
              <w:spacing w:after="240" w:line="240" w:lineRule="auto"/>
              <w:rPr>
                <w:rFonts w:ascii="Times New Roman" w:eastAsia="Times New Roman" w:hAnsi="Times New Roman" w:cs="Times New Roman"/>
                <w:sz w:val="24"/>
                <w:szCs w:val="24"/>
              </w:rPr>
            </w:pPr>
            <w:r w:rsidRPr="00A67888">
              <w:rPr>
                <w:rFonts w:ascii="Times New Roman" w:eastAsia="Times New Roman" w:hAnsi="Times New Roman" w:cs="Times New Roman"/>
                <w:sz w:val="24"/>
                <w:szCs w:val="24"/>
              </w:rPr>
              <w:t>250 +</w:t>
            </w:r>
          </w:p>
        </w:tc>
      </w:tr>
      <w:tr w:rsidR="00A67888" w:rsidRPr="00A67888" w:rsidTr="005075FB">
        <w:trPr>
          <w:jc w:val="center"/>
        </w:trPr>
        <w:tc>
          <w:tcPr>
            <w:tcW w:w="2790" w:type="dxa"/>
            <w:tcBorders>
              <w:top w:val="single" w:sz="6" w:space="0" w:color="555555"/>
              <w:left w:val="single" w:sz="6" w:space="0" w:color="555555"/>
              <w:bottom w:val="single" w:sz="6" w:space="0" w:color="555555"/>
              <w:right w:val="single" w:sz="6" w:space="0" w:color="555555"/>
            </w:tcBorders>
            <w:shd w:val="clear" w:color="auto" w:fill="FFFFFF"/>
            <w:tcMar>
              <w:top w:w="60" w:type="dxa"/>
              <w:left w:w="60" w:type="dxa"/>
              <w:bottom w:w="60" w:type="dxa"/>
              <w:right w:w="60" w:type="dxa"/>
            </w:tcMar>
            <w:vAlign w:val="center"/>
            <w:hideMark/>
          </w:tcPr>
          <w:p w:rsidR="00A67888" w:rsidRPr="00A67888" w:rsidRDefault="00A67888" w:rsidP="00A67888">
            <w:pPr>
              <w:spacing w:after="240" w:line="240" w:lineRule="auto"/>
              <w:rPr>
                <w:rFonts w:ascii="Times New Roman" w:eastAsia="Times New Roman" w:hAnsi="Times New Roman" w:cs="Times New Roman"/>
                <w:sz w:val="24"/>
                <w:szCs w:val="24"/>
              </w:rPr>
            </w:pPr>
            <w:r w:rsidRPr="00A67888">
              <w:rPr>
                <w:rFonts w:ascii="Times New Roman" w:eastAsia="Times New Roman" w:hAnsi="Times New Roman" w:cs="Times New Roman"/>
                <w:b/>
                <w:bCs/>
                <w:sz w:val="24"/>
                <w:szCs w:val="24"/>
              </w:rPr>
              <w:t>Adults (26 and older)</w:t>
            </w:r>
          </w:p>
        </w:tc>
        <w:tc>
          <w:tcPr>
            <w:tcW w:w="1260" w:type="dxa"/>
            <w:tcBorders>
              <w:top w:val="single" w:sz="6" w:space="0" w:color="555555"/>
              <w:left w:val="single" w:sz="6" w:space="0" w:color="555555"/>
              <w:bottom w:val="single" w:sz="6" w:space="0" w:color="555555"/>
              <w:right w:val="single" w:sz="6" w:space="0" w:color="555555"/>
            </w:tcBorders>
            <w:shd w:val="clear" w:color="auto" w:fill="FFFFFF"/>
            <w:tcMar>
              <w:top w:w="60" w:type="dxa"/>
              <w:left w:w="60" w:type="dxa"/>
              <w:bottom w:w="60" w:type="dxa"/>
              <w:right w:w="60" w:type="dxa"/>
            </w:tcMar>
            <w:vAlign w:val="center"/>
            <w:hideMark/>
          </w:tcPr>
          <w:p w:rsidR="00A67888" w:rsidRPr="00A67888" w:rsidRDefault="00A67888" w:rsidP="00A67888">
            <w:pPr>
              <w:spacing w:after="240" w:line="240" w:lineRule="auto"/>
              <w:rPr>
                <w:rFonts w:ascii="Times New Roman" w:eastAsia="Times New Roman" w:hAnsi="Times New Roman" w:cs="Times New Roman"/>
                <w:sz w:val="24"/>
                <w:szCs w:val="24"/>
              </w:rPr>
            </w:pPr>
            <w:r w:rsidRPr="00A67888">
              <w:rPr>
                <w:rFonts w:ascii="Times New Roman" w:eastAsia="Times New Roman" w:hAnsi="Times New Roman" w:cs="Times New Roman"/>
                <w:sz w:val="24"/>
                <w:szCs w:val="24"/>
              </w:rPr>
              <w:t>100 – 249</w:t>
            </w:r>
          </w:p>
        </w:tc>
        <w:tc>
          <w:tcPr>
            <w:tcW w:w="1155" w:type="dxa"/>
            <w:tcBorders>
              <w:top w:val="single" w:sz="6" w:space="0" w:color="555555"/>
              <w:left w:val="single" w:sz="6" w:space="0" w:color="555555"/>
              <w:bottom w:val="single" w:sz="6" w:space="0" w:color="555555"/>
              <w:right w:val="single" w:sz="6" w:space="0" w:color="555555"/>
            </w:tcBorders>
            <w:shd w:val="clear" w:color="auto" w:fill="FFFFFF"/>
            <w:tcMar>
              <w:top w:w="60" w:type="dxa"/>
              <w:left w:w="60" w:type="dxa"/>
              <w:bottom w:w="60" w:type="dxa"/>
              <w:right w:w="60" w:type="dxa"/>
            </w:tcMar>
            <w:vAlign w:val="center"/>
            <w:hideMark/>
          </w:tcPr>
          <w:p w:rsidR="00A67888" w:rsidRPr="00A67888" w:rsidRDefault="00A67888" w:rsidP="00A67888">
            <w:pPr>
              <w:spacing w:after="240" w:line="240" w:lineRule="auto"/>
              <w:rPr>
                <w:rFonts w:ascii="Times New Roman" w:eastAsia="Times New Roman" w:hAnsi="Times New Roman" w:cs="Times New Roman"/>
                <w:sz w:val="24"/>
                <w:szCs w:val="24"/>
              </w:rPr>
            </w:pPr>
            <w:r w:rsidRPr="00A67888">
              <w:rPr>
                <w:rFonts w:ascii="Times New Roman" w:eastAsia="Times New Roman" w:hAnsi="Times New Roman" w:cs="Times New Roman"/>
                <w:sz w:val="24"/>
                <w:szCs w:val="24"/>
              </w:rPr>
              <w:t>250 – 499</w:t>
            </w:r>
          </w:p>
        </w:tc>
        <w:tc>
          <w:tcPr>
            <w:tcW w:w="1290" w:type="dxa"/>
            <w:tcBorders>
              <w:top w:val="single" w:sz="6" w:space="0" w:color="555555"/>
              <w:left w:val="single" w:sz="6" w:space="0" w:color="555555"/>
              <w:bottom w:val="single" w:sz="6" w:space="0" w:color="555555"/>
              <w:right w:val="single" w:sz="6" w:space="0" w:color="555555"/>
            </w:tcBorders>
            <w:shd w:val="clear" w:color="auto" w:fill="FFFFFF"/>
            <w:tcMar>
              <w:top w:w="60" w:type="dxa"/>
              <w:left w:w="60" w:type="dxa"/>
              <w:bottom w:w="60" w:type="dxa"/>
              <w:right w:w="60" w:type="dxa"/>
            </w:tcMar>
            <w:vAlign w:val="center"/>
            <w:hideMark/>
          </w:tcPr>
          <w:p w:rsidR="00A67888" w:rsidRPr="00A67888" w:rsidRDefault="00A67888" w:rsidP="00A67888">
            <w:pPr>
              <w:spacing w:after="240" w:line="240" w:lineRule="auto"/>
              <w:rPr>
                <w:rFonts w:ascii="Times New Roman" w:eastAsia="Times New Roman" w:hAnsi="Times New Roman" w:cs="Times New Roman"/>
                <w:sz w:val="24"/>
                <w:szCs w:val="24"/>
              </w:rPr>
            </w:pPr>
            <w:r w:rsidRPr="00A67888">
              <w:rPr>
                <w:rFonts w:ascii="Times New Roman" w:eastAsia="Times New Roman" w:hAnsi="Times New Roman" w:cs="Times New Roman"/>
                <w:sz w:val="24"/>
                <w:szCs w:val="24"/>
              </w:rPr>
              <w:t>500+</w:t>
            </w:r>
          </w:p>
        </w:tc>
      </w:tr>
      <w:tr w:rsidR="00A67888" w:rsidRPr="00A67888" w:rsidTr="005075FB">
        <w:trPr>
          <w:jc w:val="center"/>
        </w:trPr>
        <w:tc>
          <w:tcPr>
            <w:tcW w:w="2790" w:type="dxa"/>
            <w:tcBorders>
              <w:top w:val="single" w:sz="6" w:space="0" w:color="555555"/>
              <w:left w:val="single" w:sz="6" w:space="0" w:color="555555"/>
              <w:bottom w:val="single" w:sz="6" w:space="0" w:color="555555"/>
              <w:right w:val="single" w:sz="6" w:space="0" w:color="555555"/>
            </w:tcBorders>
            <w:shd w:val="clear" w:color="auto" w:fill="FFFFFF"/>
            <w:tcMar>
              <w:top w:w="60" w:type="dxa"/>
              <w:left w:w="60" w:type="dxa"/>
              <w:bottom w:w="60" w:type="dxa"/>
              <w:right w:w="60" w:type="dxa"/>
            </w:tcMar>
            <w:vAlign w:val="center"/>
            <w:hideMark/>
          </w:tcPr>
          <w:p w:rsidR="00A67888" w:rsidRPr="00A67888" w:rsidRDefault="00A67888" w:rsidP="00A67888">
            <w:pPr>
              <w:spacing w:after="240" w:line="240" w:lineRule="auto"/>
              <w:rPr>
                <w:rFonts w:ascii="Times New Roman" w:eastAsia="Times New Roman" w:hAnsi="Times New Roman" w:cs="Times New Roman"/>
                <w:sz w:val="24"/>
                <w:szCs w:val="24"/>
              </w:rPr>
            </w:pPr>
            <w:bookmarkStart w:id="0" w:name="_GoBack"/>
            <w:r w:rsidRPr="00A67888">
              <w:rPr>
                <w:rFonts w:ascii="Times New Roman" w:eastAsia="Times New Roman" w:hAnsi="Times New Roman" w:cs="Times New Roman"/>
                <w:b/>
                <w:bCs/>
                <w:sz w:val="24"/>
                <w:szCs w:val="24"/>
              </w:rPr>
              <w:t>Families and Groups*</w:t>
            </w:r>
          </w:p>
        </w:tc>
        <w:tc>
          <w:tcPr>
            <w:tcW w:w="1260" w:type="dxa"/>
            <w:tcBorders>
              <w:top w:val="single" w:sz="6" w:space="0" w:color="555555"/>
              <w:left w:val="single" w:sz="6" w:space="0" w:color="555555"/>
              <w:bottom w:val="single" w:sz="6" w:space="0" w:color="555555"/>
              <w:right w:val="single" w:sz="6" w:space="0" w:color="555555"/>
            </w:tcBorders>
            <w:shd w:val="clear" w:color="auto" w:fill="FFFFFF"/>
            <w:tcMar>
              <w:top w:w="60" w:type="dxa"/>
              <w:left w:w="60" w:type="dxa"/>
              <w:bottom w:w="60" w:type="dxa"/>
              <w:right w:w="60" w:type="dxa"/>
            </w:tcMar>
            <w:vAlign w:val="center"/>
            <w:hideMark/>
          </w:tcPr>
          <w:p w:rsidR="00A67888" w:rsidRPr="00A67888" w:rsidRDefault="00A67888" w:rsidP="00A67888">
            <w:pPr>
              <w:spacing w:after="240" w:line="240" w:lineRule="auto"/>
              <w:rPr>
                <w:rFonts w:ascii="Times New Roman" w:eastAsia="Times New Roman" w:hAnsi="Times New Roman" w:cs="Times New Roman"/>
                <w:sz w:val="24"/>
                <w:szCs w:val="24"/>
              </w:rPr>
            </w:pPr>
            <w:r w:rsidRPr="00A67888">
              <w:rPr>
                <w:rFonts w:ascii="Times New Roman" w:eastAsia="Times New Roman" w:hAnsi="Times New Roman" w:cs="Times New Roman"/>
                <w:sz w:val="24"/>
                <w:szCs w:val="24"/>
              </w:rPr>
              <w:t>200 – 499</w:t>
            </w:r>
          </w:p>
        </w:tc>
        <w:tc>
          <w:tcPr>
            <w:tcW w:w="1155" w:type="dxa"/>
            <w:tcBorders>
              <w:top w:val="single" w:sz="6" w:space="0" w:color="555555"/>
              <w:left w:val="single" w:sz="6" w:space="0" w:color="555555"/>
              <w:bottom w:val="single" w:sz="6" w:space="0" w:color="555555"/>
              <w:right w:val="single" w:sz="6" w:space="0" w:color="555555"/>
            </w:tcBorders>
            <w:shd w:val="clear" w:color="auto" w:fill="FFFFFF"/>
            <w:tcMar>
              <w:top w:w="60" w:type="dxa"/>
              <w:left w:w="60" w:type="dxa"/>
              <w:bottom w:w="60" w:type="dxa"/>
              <w:right w:w="60" w:type="dxa"/>
            </w:tcMar>
            <w:vAlign w:val="center"/>
            <w:hideMark/>
          </w:tcPr>
          <w:p w:rsidR="00A67888" w:rsidRPr="00A67888" w:rsidRDefault="00A67888" w:rsidP="00A67888">
            <w:pPr>
              <w:spacing w:after="240" w:line="240" w:lineRule="auto"/>
              <w:rPr>
                <w:rFonts w:ascii="Times New Roman" w:eastAsia="Times New Roman" w:hAnsi="Times New Roman" w:cs="Times New Roman"/>
                <w:sz w:val="24"/>
                <w:szCs w:val="24"/>
              </w:rPr>
            </w:pPr>
            <w:r w:rsidRPr="00A67888">
              <w:rPr>
                <w:rFonts w:ascii="Times New Roman" w:eastAsia="Times New Roman" w:hAnsi="Times New Roman" w:cs="Times New Roman"/>
                <w:sz w:val="24"/>
                <w:szCs w:val="24"/>
              </w:rPr>
              <w:t>500 – 999</w:t>
            </w:r>
          </w:p>
        </w:tc>
        <w:tc>
          <w:tcPr>
            <w:tcW w:w="1290" w:type="dxa"/>
            <w:tcBorders>
              <w:top w:val="single" w:sz="6" w:space="0" w:color="555555"/>
              <w:left w:val="single" w:sz="6" w:space="0" w:color="555555"/>
              <w:bottom w:val="single" w:sz="6" w:space="0" w:color="555555"/>
              <w:right w:val="single" w:sz="6" w:space="0" w:color="555555"/>
            </w:tcBorders>
            <w:shd w:val="clear" w:color="auto" w:fill="FFFFFF"/>
            <w:tcMar>
              <w:top w:w="60" w:type="dxa"/>
              <w:left w:w="60" w:type="dxa"/>
              <w:bottom w:w="60" w:type="dxa"/>
              <w:right w:w="60" w:type="dxa"/>
            </w:tcMar>
            <w:vAlign w:val="center"/>
            <w:hideMark/>
          </w:tcPr>
          <w:p w:rsidR="00A67888" w:rsidRPr="00A67888" w:rsidRDefault="00A67888" w:rsidP="00A67888">
            <w:pPr>
              <w:spacing w:after="240" w:line="240" w:lineRule="auto"/>
              <w:rPr>
                <w:rFonts w:ascii="Times New Roman" w:eastAsia="Times New Roman" w:hAnsi="Times New Roman" w:cs="Times New Roman"/>
                <w:sz w:val="24"/>
                <w:szCs w:val="24"/>
              </w:rPr>
            </w:pPr>
            <w:r w:rsidRPr="00A67888">
              <w:rPr>
                <w:rFonts w:ascii="Times New Roman" w:eastAsia="Times New Roman" w:hAnsi="Times New Roman" w:cs="Times New Roman"/>
                <w:sz w:val="24"/>
                <w:szCs w:val="24"/>
              </w:rPr>
              <w:t>1,000+</w:t>
            </w:r>
          </w:p>
        </w:tc>
      </w:tr>
      <w:bookmarkEnd w:id="0"/>
      <w:tr w:rsidR="00A67888" w:rsidRPr="00A67888" w:rsidTr="00A67888">
        <w:trPr>
          <w:jc w:val="center"/>
        </w:trPr>
        <w:tc>
          <w:tcPr>
            <w:tcW w:w="6495" w:type="dxa"/>
            <w:gridSpan w:val="4"/>
            <w:tcBorders>
              <w:top w:val="single" w:sz="6" w:space="0" w:color="555555"/>
              <w:left w:val="single" w:sz="6" w:space="0" w:color="555555"/>
              <w:bottom w:val="single" w:sz="6" w:space="0" w:color="555555"/>
              <w:right w:val="single" w:sz="6" w:space="0" w:color="555555"/>
            </w:tcBorders>
            <w:shd w:val="clear" w:color="auto" w:fill="FFFFFF"/>
            <w:tcMar>
              <w:top w:w="60" w:type="dxa"/>
              <w:left w:w="60" w:type="dxa"/>
              <w:bottom w:w="60" w:type="dxa"/>
              <w:right w:w="60" w:type="dxa"/>
            </w:tcMar>
            <w:vAlign w:val="center"/>
            <w:hideMark/>
          </w:tcPr>
          <w:p w:rsidR="00A67888" w:rsidRPr="00A67888" w:rsidRDefault="00A67888" w:rsidP="00A67888">
            <w:pPr>
              <w:spacing w:after="240" w:line="240" w:lineRule="auto"/>
              <w:rPr>
                <w:rFonts w:ascii="Times New Roman" w:eastAsia="Times New Roman" w:hAnsi="Times New Roman" w:cs="Times New Roman"/>
                <w:sz w:val="24"/>
                <w:szCs w:val="24"/>
              </w:rPr>
            </w:pPr>
            <w:r w:rsidRPr="00A67888">
              <w:rPr>
                <w:rFonts w:ascii="Times New Roman" w:eastAsia="Times New Roman" w:hAnsi="Times New Roman" w:cs="Times New Roman"/>
                <w:b/>
                <w:bCs/>
                <w:sz w:val="24"/>
                <w:szCs w:val="24"/>
              </w:rPr>
              <w:t>President’s Lifetime Achievement Award: </w:t>
            </w:r>
            <w:r w:rsidRPr="00A67888">
              <w:rPr>
                <w:rFonts w:ascii="Times New Roman" w:eastAsia="Times New Roman" w:hAnsi="Times New Roman" w:cs="Times New Roman"/>
                <w:sz w:val="24"/>
                <w:szCs w:val="24"/>
              </w:rPr>
              <w:t>Individuals who have completed 4,000 or more hours in their lifetime</w:t>
            </w:r>
          </w:p>
        </w:tc>
      </w:tr>
      <w:tr w:rsidR="00A67888" w:rsidRPr="00A67888" w:rsidTr="00A67888">
        <w:trPr>
          <w:jc w:val="center"/>
        </w:trPr>
        <w:tc>
          <w:tcPr>
            <w:tcW w:w="6495" w:type="dxa"/>
            <w:gridSpan w:val="4"/>
            <w:tcBorders>
              <w:top w:val="single" w:sz="6" w:space="0" w:color="555555"/>
              <w:left w:val="single" w:sz="6" w:space="0" w:color="555555"/>
              <w:bottom w:val="single" w:sz="6" w:space="0" w:color="555555"/>
              <w:right w:val="single" w:sz="6" w:space="0" w:color="555555"/>
            </w:tcBorders>
            <w:shd w:val="clear" w:color="auto" w:fill="CCCCCC"/>
            <w:tcMar>
              <w:top w:w="60" w:type="dxa"/>
              <w:left w:w="60" w:type="dxa"/>
              <w:bottom w:w="60" w:type="dxa"/>
              <w:right w:w="60" w:type="dxa"/>
            </w:tcMar>
            <w:vAlign w:val="center"/>
            <w:hideMark/>
          </w:tcPr>
          <w:p w:rsidR="00A67888" w:rsidRPr="00A67888" w:rsidRDefault="00A67888" w:rsidP="00A67888">
            <w:pPr>
              <w:spacing w:after="240" w:line="240" w:lineRule="auto"/>
              <w:rPr>
                <w:rFonts w:ascii="Times New Roman" w:eastAsia="Times New Roman" w:hAnsi="Times New Roman" w:cs="Times New Roman"/>
                <w:sz w:val="24"/>
                <w:szCs w:val="24"/>
              </w:rPr>
            </w:pPr>
            <w:r w:rsidRPr="00A67888">
              <w:rPr>
                <w:rFonts w:ascii="Times New Roman" w:eastAsia="Times New Roman" w:hAnsi="Times New Roman" w:cs="Times New Roman"/>
                <w:b/>
                <w:bCs/>
                <w:i/>
                <w:iCs/>
                <w:sz w:val="18"/>
                <w:szCs w:val="18"/>
              </w:rPr>
              <w:t>* Two or more people, with each member contributing at</w:t>
            </w:r>
            <w:r w:rsidR="005075FB">
              <w:rPr>
                <w:rFonts w:ascii="Times New Roman" w:eastAsia="Times New Roman" w:hAnsi="Times New Roman" w:cs="Times New Roman"/>
                <w:b/>
                <w:bCs/>
                <w:i/>
                <w:iCs/>
                <w:sz w:val="18"/>
                <w:szCs w:val="18"/>
              </w:rPr>
              <w:t xml:space="preserve"> least 25 hours toward the tot</w:t>
            </w:r>
          </w:p>
        </w:tc>
      </w:tr>
    </w:tbl>
    <w:p w:rsidR="00C204A3" w:rsidRPr="005075FB" w:rsidRDefault="005075FB" w:rsidP="005075FB">
      <w:pPr>
        <w:spacing w:after="0" w:line="300" w:lineRule="atLeast"/>
        <w:jc w:val="center"/>
        <w:rPr>
          <w:rFonts w:ascii="Arial" w:eastAsia="Times New Roman" w:hAnsi="Arial" w:cs="Arial"/>
          <w:sz w:val="16"/>
          <w:szCs w:val="16"/>
        </w:rPr>
      </w:pPr>
      <w:r w:rsidRPr="005075FB">
        <w:rPr>
          <w:rFonts w:ascii="Arial" w:hAnsi="Arial" w:cs="Arial"/>
          <w:sz w:val="16"/>
          <w:szCs w:val="16"/>
          <w:shd w:val="clear" w:color="auto" w:fill="F1F1F1"/>
        </w:rPr>
        <w:t>©2015 Sorichung Enterprise LLC. All Rights Reserved. Virginia</w:t>
      </w:r>
    </w:p>
    <w:sectPr w:rsidR="00C204A3" w:rsidRPr="005075FB" w:rsidSect="00A6788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맑은 고딕">
    <w:panose1 w:val="020B0503020000020004"/>
    <w:charset w:val="81"/>
    <w:family w:val="modern"/>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963F48"/>
    <w:multiLevelType w:val="multilevel"/>
    <w:tmpl w:val="F76EB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888"/>
    <w:rsid w:val="005075FB"/>
    <w:rsid w:val="0074784B"/>
    <w:rsid w:val="009568A6"/>
    <w:rsid w:val="00A6788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1CAB10-F42F-44F8-9DF0-4062A0923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678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788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9817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324</Words>
  <Characters>1852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EUNSU KIM</dc:creator>
  <cp:keywords/>
  <dc:description/>
  <cp:lastModifiedBy>EUNSU KIM</cp:lastModifiedBy>
  <cp:revision>2</cp:revision>
  <cp:lastPrinted>2014-12-23T23:27:00Z</cp:lastPrinted>
  <dcterms:created xsi:type="dcterms:W3CDTF">2014-12-23T23:22:00Z</dcterms:created>
  <dcterms:modified xsi:type="dcterms:W3CDTF">2015-03-20T20:25:00Z</dcterms:modified>
</cp:coreProperties>
</file>